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p w:rsidR="00EA206C" w:rsidRDefault="00997A55" w:rsidP="00997A5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</w:t>
      </w:r>
      <w:r w:rsidR="00EA206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A206C" w:rsidRDefault="00997A55" w:rsidP="00997A5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филиала </w:t>
      </w:r>
    </w:p>
    <w:p w:rsidR="00997A55" w:rsidRDefault="00997A55" w:rsidP="00997A5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ПАО «МРСК Центра» - «Орелэнерго»</w:t>
      </w:r>
    </w:p>
    <w:p w:rsidR="00997A55" w:rsidRDefault="00997A55" w:rsidP="00997A55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997A55" w:rsidRDefault="00997A55" w:rsidP="00997A5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 /И.В. </w:t>
      </w:r>
      <w:proofErr w:type="spellStart"/>
      <w:r>
        <w:rPr>
          <w:rFonts w:ascii="Times New Roman" w:hAnsi="Times New Roman"/>
          <w:sz w:val="24"/>
          <w:szCs w:val="24"/>
        </w:rPr>
        <w:t>Колубанов</w:t>
      </w:r>
      <w:proofErr w:type="spellEnd"/>
    </w:p>
    <w:p w:rsidR="00997A55" w:rsidRDefault="00997A55" w:rsidP="00997A5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“_______” ____________________ 2017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044AD9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EA206C">
        <w:rPr>
          <w:b/>
          <w:sz w:val="28"/>
          <w:szCs w:val="28"/>
        </w:rPr>
        <w:t>мебели</w:t>
      </w:r>
      <w:r w:rsidR="009C0389" w:rsidRPr="00044AD9">
        <w:rPr>
          <w:b/>
          <w:sz w:val="28"/>
          <w:szCs w:val="28"/>
        </w:rPr>
        <w:t>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401E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732866" w:rsidRPr="00C97A67" w:rsidRDefault="00732866" w:rsidP="00732866">
      <w:pPr>
        <w:pStyle w:val="ad"/>
        <w:numPr>
          <w:ilvl w:val="0"/>
          <w:numId w:val="3"/>
        </w:numPr>
        <w:spacing w:line="276" w:lineRule="auto"/>
        <w:rPr>
          <w:b/>
          <w:bCs/>
          <w:sz w:val="26"/>
          <w:szCs w:val="26"/>
        </w:rPr>
      </w:pPr>
      <w:r w:rsidRPr="00C97A67">
        <w:rPr>
          <w:b/>
          <w:bCs/>
          <w:sz w:val="26"/>
          <w:szCs w:val="26"/>
        </w:rPr>
        <w:t>Общая часть.</w:t>
      </w:r>
    </w:p>
    <w:p w:rsidR="00732866" w:rsidRPr="00AE02B4" w:rsidRDefault="00732866" w:rsidP="00732866">
      <w:pPr>
        <w:spacing w:line="276" w:lineRule="auto"/>
        <w:rPr>
          <w:sz w:val="24"/>
          <w:szCs w:val="24"/>
        </w:rPr>
      </w:pPr>
      <w:r w:rsidRPr="00AE02B4">
        <w:rPr>
          <w:sz w:val="24"/>
          <w:szCs w:val="24"/>
        </w:rPr>
        <w:t xml:space="preserve">ПАО «МРСК Центра» производит закупку </w:t>
      </w:r>
      <w:r>
        <w:rPr>
          <w:sz w:val="24"/>
          <w:szCs w:val="24"/>
        </w:rPr>
        <w:t>мебели</w:t>
      </w:r>
      <w:r w:rsidRPr="00AE02B4">
        <w:rPr>
          <w:sz w:val="24"/>
          <w:szCs w:val="24"/>
        </w:rPr>
        <w:t>. Закупка производится на основании потребности филиала ПАО «МРСК Центра</w:t>
      </w:r>
      <w:proofErr w:type="gramStart"/>
      <w:r w:rsidRPr="00AE02B4">
        <w:rPr>
          <w:sz w:val="24"/>
          <w:szCs w:val="24"/>
        </w:rPr>
        <w:t>»-</w:t>
      </w:r>
      <w:proofErr w:type="gramEnd"/>
      <w:r w:rsidRPr="00AE02B4">
        <w:rPr>
          <w:sz w:val="24"/>
          <w:szCs w:val="24"/>
        </w:rPr>
        <w:t>«Орелэнерго» на 2018 год.</w:t>
      </w:r>
    </w:p>
    <w:p w:rsidR="00732866" w:rsidRPr="00C97A67" w:rsidRDefault="00732866" w:rsidP="00732866">
      <w:pPr>
        <w:pStyle w:val="ad"/>
        <w:numPr>
          <w:ilvl w:val="0"/>
          <w:numId w:val="3"/>
        </w:numPr>
        <w:spacing w:line="276" w:lineRule="auto"/>
        <w:rPr>
          <w:b/>
          <w:bCs/>
          <w:sz w:val="26"/>
          <w:szCs w:val="26"/>
        </w:rPr>
      </w:pPr>
      <w:r w:rsidRPr="00C97A67">
        <w:rPr>
          <w:b/>
          <w:bCs/>
          <w:sz w:val="26"/>
          <w:szCs w:val="26"/>
        </w:rPr>
        <w:t>Предмет конкурса.</w:t>
      </w:r>
    </w:p>
    <w:p w:rsidR="00732866" w:rsidRPr="00AE02B4" w:rsidRDefault="00732866" w:rsidP="00732866">
      <w:pPr>
        <w:spacing w:line="276" w:lineRule="auto"/>
        <w:ind w:firstLine="709"/>
        <w:rPr>
          <w:sz w:val="24"/>
          <w:szCs w:val="24"/>
        </w:rPr>
      </w:pPr>
      <w:r w:rsidRPr="00AE02B4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мебели</w:t>
      </w:r>
      <w:bookmarkStart w:id="1" w:name="_GoBack"/>
      <w:bookmarkEnd w:id="1"/>
      <w:r w:rsidRPr="00AE02B4">
        <w:rPr>
          <w:sz w:val="24"/>
          <w:szCs w:val="24"/>
        </w:rPr>
        <w:t xml:space="preserve"> в объемах и сроки установленные данным ТЗ на склад получателя – филиала ПАО «МРСК Центра»:</w:t>
      </w:r>
    </w:p>
    <w:tbl>
      <w:tblPr>
        <w:tblW w:w="10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1547"/>
        <w:gridCol w:w="2896"/>
        <w:gridCol w:w="1996"/>
        <w:gridCol w:w="2222"/>
      </w:tblGrid>
      <w:tr w:rsidR="00732866" w:rsidRPr="002958D2" w:rsidTr="00D635B0">
        <w:trPr>
          <w:trHeight w:val="655"/>
        </w:trPr>
        <w:tc>
          <w:tcPr>
            <w:tcW w:w="1653" w:type="dxa"/>
            <w:vAlign w:val="center"/>
          </w:tcPr>
          <w:p w:rsidR="00732866" w:rsidRPr="00AE02B4" w:rsidRDefault="00732866" w:rsidP="00D635B0">
            <w:pPr>
              <w:tabs>
                <w:tab w:val="left" w:pos="1134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AE02B4">
              <w:rPr>
                <w:sz w:val="22"/>
                <w:szCs w:val="22"/>
              </w:rPr>
              <w:t>Филиал</w:t>
            </w:r>
          </w:p>
        </w:tc>
        <w:tc>
          <w:tcPr>
            <w:tcW w:w="1547" w:type="dxa"/>
            <w:vAlign w:val="center"/>
          </w:tcPr>
          <w:p w:rsidR="00732866" w:rsidRPr="00AE02B4" w:rsidRDefault="00732866" w:rsidP="00D635B0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rPr>
                <w:sz w:val="22"/>
                <w:szCs w:val="22"/>
              </w:rPr>
            </w:pPr>
            <w:r w:rsidRPr="00AE02B4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2896" w:type="dxa"/>
            <w:vAlign w:val="center"/>
          </w:tcPr>
          <w:p w:rsidR="00732866" w:rsidRPr="00AE02B4" w:rsidRDefault="00732866" w:rsidP="00D635B0">
            <w:pPr>
              <w:tabs>
                <w:tab w:val="left" w:pos="1134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AE02B4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996" w:type="dxa"/>
            <w:vAlign w:val="center"/>
          </w:tcPr>
          <w:p w:rsidR="00732866" w:rsidRPr="00AE02B4" w:rsidRDefault="00732866" w:rsidP="00D635B0">
            <w:pPr>
              <w:tabs>
                <w:tab w:val="left" w:pos="1134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AE02B4">
              <w:rPr>
                <w:sz w:val="22"/>
                <w:szCs w:val="22"/>
              </w:rPr>
              <w:t>Срок поставки *</w:t>
            </w:r>
          </w:p>
        </w:tc>
        <w:tc>
          <w:tcPr>
            <w:tcW w:w="2222" w:type="dxa"/>
          </w:tcPr>
          <w:p w:rsidR="00732866" w:rsidRPr="00AE02B4" w:rsidRDefault="00732866" w:rsidP="00D635B0">
            <w:pPr>
              <w:tabs>
                <w:tab w:val="left" w:pos="1134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AE02B4">
              <w:rPr>
                <w:sz w:val="22"/>
                <w:szCs w:val="22"/>
              </w:rPr>
              <w:t>Количество</w:t>
            </w:r>
          </w:p>
        </w:tc>
      </w:tr>
      <w:tr w:rsidR="00732866" w:rsidRPr="002958D2" w:rsidTr="00D635B0">
        <w:trPr>
          <w:trHeight w:val="1295"/>
        </w:trPr>
        <w:tc>
          <w:tcPr>
            <w:tcW w:w="1653" w:type="dxa"/>
            <w:vAlign w:val="center"/>
          </w:tcPr>
          <w:p w:rsidR="00732866" w:rsidRPr="00AE02B4" w:rsidRDefault="00732866" w:rsidP="00D635B0">
            <w:pPr>
              <w:tabs>
                <w:tab w:val="left" w:pos="1134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AE02B4">
              <w:rPr>
                <w:sz w:val="22"/>
                <w:szCs w:val="22"/>
              </w:rPr>
              <w:t>«Орелэнерго»</w:t>
            </w:r>
          </w:p>
        </w:tc>
        <w:tc>
          <w:tcPr>
            <w:tcW w:w="1547" w:type="dxa"/>
            <w:vAlign w:val="center"/>
          </w:tcPr>
          <w:p w:rsidR="00732866" w:rsidRPr="00AE02B4" w:rsidRDefault="00732866" w:rsidP="00D635B0">
            <w:pPr>
              <w:tabs>
                <w:tab w:val="left" w:pos="1134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AE02B4">
              <w:rPr>
                <w:sz w:val="22"/>
                <w:szCs w:val="22"/>
              </w:rPr>
              <w:t>Авто/ж/д</w:t>
            </w:r>
          </w:p>
        </w:tc>
        <w:tc>
          <w:tcPr>
            <w:tcW w:w="2896" w:type="dxa"/>
            <w:vAlign w:val="center"/>
          </w:tcPr>
          <w:p w:rsidR="00732866" w:rsidRPr="00AE02B4" w:rsidRDefault="00732866" w:rsidP="00D635B0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Pr="00AE02B4">
              <w:rPr>
                <w:sz w:val="22"/>
                <w:szCs w:val="22"/>
              </w:rPr>
              <w:t>г. Орёл, ул. Высоковольтная, 9, центральный склад филиала ПАО «МРСК Центра</w:t>
            </w:r>
            <w:proofErr w:type="gramStart"/>
            <w:r w:rsidRPr="00AE02B4">
              <w:rPr>
                <w:sz w:val="22"/>
                <w:szCs w:val="22"/>
              </w:rPr>
              <w:t>»-</w:t>
            </w:r>
            <w:proofErr w:type="gramEnd"/>
            <w:r w:rsidRPr="00AE02B4">
              <w:rPr>
                <w:sz w:val="22"/>
                <w:szCs w:val="22"/>
              </w:rPr>
              <w:t>«</w:t>
            </w:r>
            <w:proofErr w:type="spellStart"/>
            <w:r w:rsidRPr="00AE02B4">
              <w:rPr>
                <w:sz w:val="22"/>
                <w:szCs w:val="22"/>
              </w:rPr>
              <w:t>Орёлэнерго</w:t>
            </w:r>
            <w:proofErr w:type="spellEnd"/>
            <w:r w:rsidRPr="00AE02B4">
              <w:rPr>
                <w:sz w:val="22"/>
                <w:szCs w:val="22"/>
              </w:rPr>
              <w:t>»</w:t>
            </w:r>
          </w:p>
        </w:tc>
        <w:tc>
          <w:tcPr>
            <w:tcW w:w="1996" w:type="dxa"/>
            <w:vAlign w:val="center"/>
          </w:tcPr>
          <w:p w:rsidR="00732866" w:rsidRPr="00AE02B4" w:rsidRDefault="00732866" w:rsidP="00D635B0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AE02B4">
              <w:rPr>
                <w:sz w:val="22"/>
                <w:szCs w:val="22"/>
              </w:rPr>
              <w:t>30</w:t>
            </w:r>
          </w:p>
        </w:tc>
        <w:tc>
          <w:tcPr>
            <w:tcW w:w="2222" w:type="dxa"/>
            <w:vAlign w:val="center"/>
          </w:tcPr>
          <w:p w:rsidR="00732866" w:rsidRPr="00AE02B4" w:rsidRDefault="00732866" w:rsidP="00D635B0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</w:tr>
    </w:tbl>
    <w:p w:rsidR="00732866" w:rsidRPr="00732866" w:rsidRDefault="00732866" w:rsidP="00732866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>
        <w:rPr>
          <w:sz w:val="24"/>
          <w:szCs w:val="24"/>
        </w:rPr>
        <w:t xml:space="preserve">                              </w:t>
      </w:r>
      <w:r w:rsidRPr="00AE02B4">
        <w:rPr>
          <w:sz w:val="24"/>
          <w:szCs w:val="24"/>
        </w:rPr>
        <w:t xml:space="preserve">     *в календарных днях, с момента заключения договора</w:t>
      </w: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10632" w:type="dxa"/>
        <w:tblInd w:w="-5" w:type="dxa"/>
        <w:tblLook w:val="04A0" w:firstRow="1" w:lastRow="0" w:firstColumn="1" w:lastColumn="0" w:noHBand="0" w:noVBand="1"/>
      </w:tblPr>
      <w:tblGrid>
        <w:gridCol w:w="2268"/>
        <w:gridCol w:w="6379"/>
        <w:gridCol w:w="1985"/>
      </w:tblGrid>
      <w:tr w:rsidR="00EA206C" w:rsidTr="00EA206C">
        <w:tc>
          <w:tcPr>
            <w:tcW w:w="2268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6379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  <w:tc>
          <w:tcPr>
            <w:tcW w:w="1985" w:type="dxa"/>
          </w:tcPr>
          <w:p w:rsidR="00EA206C" w:rsidRPr="00EE0F10" w:rsidRDefault="00EA206C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 xml:space="preserve">Количество,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EA206C" w:rsidRPr="00732291" w:rsidTr="00EA206C">
        <w:tc>
          <w:tcPr>
            <w:tcW w:w="2268" w:type="dxa"/>
            <w:vAlign w:val="center"/>
          </w:tcPr>
          <w:p w:rsidR="00EA206C" w:rsidRPr="00732291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4C7A1B">
              <w:rPr>
                <w:color w:val="000000"/>
                <w:sz w:val="24"/>
              </w:rPr>
              <w:t xml:space="preserve">Кресло </w:t>
            </w:r>
            <w:r w:rsidRPr="00C94167">
              <w:rPr>
                <w:color w:val="000000"/>
                <w:sz w:val="24"/>
              </w:rPr>
              <w:t>PRESTYGE</w:t>
            </w:r>
          </w:p>
        </w:tc>
        <w:tc>
          <w:tcPr>
            <w:tcW w:w="6379" w:type="dxa"/>
            <w:vAlign w:val="center"/>
          </w:tcPr>
          <w:p w:rsidR="00EA206C" w:rsidRPr="000C0C19" w:rsidRDefault="00EA206C" w:rsidP="00865432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Размеры 770/850*520* 1310</w:t>
            </w:r>
          </w:p>
          <w:p w:rsidR="00EA206C" w:rsidRPr="00D802D5" w:rsidRDefault="00EA206C" w:rsidP="00865432">
            <w:pPr>
              <w:pStyle w:val="ad"/>
              <w:tabs>
                <w:tab w:val="left" w:pos="0"/>
              </w:tabs>
              <w:ind w:left="0" w:firstLine="0"/>
              <w:rPr>
                <w:b/>
                <w:color w:val="000000"/>
                <w:sz w:val="24"/>
              </w:rPr>
            </w:pPr>
            <w:r w:rsidRPr="000C0C19">
              <w:rPr>
                <w:sz w:val="18"/>
                <w:szCs w:val="18"/>
              </w:rPr>
              <w:t xml:space="preserve">Оснащено механизмами, с помощью которых можно регулировать высоту и глубину сидения, а также высоту и угол наклона спинки. Кресло на пластиковой крестовине, с подлокотниками. Механизм качания с фиксацией кресла в рабочем положении,  в основе сидения используется стальная внутренняя конструкция и многослойная фанера, статическая нагрузка – до </w:t>
            </w:r>
            <w:smartTag w:uri="urn:schemas-microsoft-com:office:smarttags" w:element="metricconverter">
              <w:smartTagPr>
                <w:attr w:name="ProductID" w:val="120 кг"/>
              </w:smartTagPr>
              <w:r w:rsidRPr="000C0C19">
                <w:rPr>
                  <w:sz w:val="18"/>
                  <w:szCs w:val="18"/>
                </w:rPr>
                <w:t>120 кг</w:t>
              </w:r>
            </w:smartTag>
            <w:r>
              <w:rPr>
                <w:sz w:val="18"/>
                <w:szCs w:val="18"/>
              </w:rPr>
              <w:t>, Обивка кресла – эко кожа</w:t>
            </w:r>
            <w:r w:rsidRPr="000C0C19">
              <w:rPr>
                <w:sz w:val="18"/>
                <w:szCs w:val="18"/>
              </w:rPr>
              <w:t xml:space="preserve">.  </w:t>
            </w:r>
            <w:proofErr w:type="spellStart"/>
            <w:r w:rsidRPr="000C0C19">
              <w:rPr>
                <w:sz w:val="18"/>
                <w:szCs w:val="18"/>
              </w:rPr>
              <w:t>Газпатрон</w:t>
            </w:r>
            <w:proofErr w:type="spellEnd"/>
            <w:r w:rsidRPr="000C0C19">
              <w:rPr>
                <w:sz w:val="18"/>
                <w:szCs w:val="18"/>
              </w:rPr>
              <w:t xml:space="preserve"> 3-й категории стабильности по DIN 4550, ролик - диаметр штока 11мм, поверхность колес – прорезиненная.</w:t>
            </w:r>
            <w:r>
              <w:rPr>
                <w:sz w:val="18"/>
                <w:szCs w:val="18"/>
              </w:rPr>
              <w:t xml:space="preserve"> Цвет </w:t>
            </w:r>
            <w:proofErr w:type="gramStart"/>
            <w:r>
              <w:rPr>
                <w:sz w:val="18"/>
                <w:szCs w:val="18"/>
              </w:rPr>
              <w:t>–ч</w:t>
            </w:r>
            <w:proofErr w:type="gramEnd"/>
            <w:r>
              <w:rPr>
                <w:sz w:val="18"/>
                <w:szCs w:val="18"/>
              </w:rPr>
              <w:t>ерный.</w:t>
            </w:r>
          </w:p>
        </w:tc>
        <w:tc>
          <w:tcPr>
            <w:tcW w:w="1985" w:type="dxa"/>
            <w:vAlign w:val="center"/>
          </w:tcPr>
          <w:p w:rsidR="00EA206C" w:rsidRPr="00C94167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90</w:t>
            </w:r>
          </w:p>
        </w:tc>
      </w:tr>
      <w:tr w:rsidR="00EA206C" w:rsidRPr="00732291" w:rsidTr="00EA206C">
        <w:tc>
          <w:tcPr>
            <w:tcW w:w="2268" w:type="dxa"/>
            <w:vAlign w:val="center"/>
          </w:tcPr>
          <w:p w:rsidR="00EA206C" w:rsidRPr="004C7A1B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Стул ИЗО</w:t>
            </w:r>
          </w:p>
        </w:tc>
        <w:tc>
          <w:tcPr>
            <w:tcW w:w="6379" w:type="dxa"/>
            <w:vAlign w:val="center"/>
          </w:tcPr>
          <w:p w:rsidR="00EA206C" w:rsidRDefault="00EA206C" w:rsidP="00865432">
            <w:pPr>
              <w:ind w:firstLine="0"/>
              <w:jc w:val="center"/>
              <w:rPr>
                <w:sz w:val="18"/>
                <w:szCs w:val="18"/>
              </w:rPr>
            </w:pPr>
            <w:r>
              <w:t>Состоит из мягкого сиденья, мягкой спинки и </w:t>
            </w:r>
            <w:proofErr w:type="spellStart"/>
            <w:r>
              <w:t>металлокаркаса</w:t>
            </w:r>
            <w:proofErr w:type="spellEnd"/>
            <w:r>
              <w:t xml:space="preserve">. Каркас изготовлен из трубы овального сечения 30х15 мм, трубы диаметром 19 мм и имеет порошковое </w:t>
            </w:r>
            <w:proofErr w:type="spellStart"/>
            <w:r>
              <w:t>термоотверждаемое</w:t>
            </w:r>
            <w:proofErr w:type="spellEnd"/>
            <w:r>
              <w:t xml:space="preserve"> полимерное покрытие. Сиденье выполнено из фанеры 9 мм, поролона, обтянуто мебельной тканью. Цвет черный.</w:t>
            </w:r>
          </w:p>
        </w:tc>
        <w:tc>
          <w:tcPr>
            <w:tcW w:w="1985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732866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044AD9">
        <w:rPr>
          <w:sz w:val="24"/>
          <w:szCs w:val="24"/>
        </w:rPr>
        <w:t xml:space="preserve">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Default="00A37557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административно-</w:t>
            </w:r>
          </w:p>
          <w:p w:rsidR="00A37557" w:rsidRPr="00A76F3B" w:rsidRDefault="00A37557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хозяйственного отдела                                                                               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Default="00A37557" w:rsidP="00A37557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</w:p>
          <w:p w:rsidR="00A37557" w:rsidRPr="00A76F3B" w:rsidRDefault="00A37557" w:rsidP="00A37557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А.А. Шхалахов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F35" w:rsidRDefault="006F0F35">
      <w:r>
        <w:separator/>
      </w:r>
    </w:p>
  </w:endnote>
  <w:endnote w:type="continuationSeparator" w:id="0">
    <w:p w:rsidR="006F0F35" w:rsidRDefault="006F0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F35" w:rsidRDefault="006F0F35">
      <w:r>
        <w:separator/>
      </w:r>
    </w:p>
  </w:footnote>
  <w:footnote w:type="continuationSeparator" w:id="0">
    <w:p w:rsidR="006F0F35" w:rsidRDefault="006F0F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EE27C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7952"/>
    <w:rsid w:val="00071958"/>
    <w:rsid w:val="000772A6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741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16EE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C69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8F6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35606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3C1E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B6F3E"/>
    <w:rsid w:val="004C0967"/>
    <w:rsid w:val="004C14A4"/>
    <w:rsid w:val="004C17FD"/>
    <w:rsid w:val="004C1A5E"/>
    <w:rsid w:val="004C28F6"/>
    <w:rsid w:val="004C2D13"/>
    <w:rsid w:val="004C33B3"/>
    <w:rsid w:val="004C4F0B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4795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2C7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0F35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1D59"/>
    <w:rsid w:val="00732291"/>
    <w:rsid w:val="007326A6"/>
    <w:rsid w:val="007326BC"/>
    <w:rsid w:val="00732866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97A55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557"/>
    <w:rsid w:val="00A40BAC"/>
    <w:rsid w:val="00A420E1"/>
    <w:rsid w:val="00A43D43"/>
    <w:rsid w:val="00A501FF"/>
    <w:rsid w:val="00A50F37"/>
    <w:rsid w:val="00A510EB"/>
    <w:rsid w:val="00A515A6"/>
    <w:rsid w:val="00A51811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01D6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15E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167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33C6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6D4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1506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6D3"/>
    <w:rsid w:val="00E5567C"/>
    <w:rsid w:val="00E605CD"/>
    <w:rsid w:val="00E60F8D"/>
    <w:rsid w:val="00E61735"/>
    <w:rsid w:val="00E63075"/>
    <w:rsid w:val="00E6313F"/>
    <w:rsid w:val="00E64AC0"/>
    <w:rsid w:val="00E66FFE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206C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27CA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438D"/>
    <w:rsid w:val="00F75196"/>
    <w:rsid w:val="00F754CC"/>
    <w:rsid w:val="00F7773E"/>
    <w:rsid w:val="00F8276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32A7"/>
    <w:rsid w:val="00FC77BE"/>
    <w:rsid w:val="00FC7F37"/>
    <w:rsid w:val="00FD1036"/>
    <w:rsid w:val="00FD13C6"/>
    <w:rsid w:val="00FD55F9"/>
    <w:rsid w:val="00FD67C8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4CCE6-E342-48A6-90B0-8902B1905C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9A33545-F24B-4BE2-A274-721A01539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5C0621-D38C-4C86-91CB-65B0129751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D9A249-29B7-46C7-9EB7-53E437EA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Ботовалкина Элеонора Валентиновна</cp:lastModifiedBy>
  <cp:revision>2</cp:revision>
  <cp:lastPrinted>2010-09-30T13:29:00Z</cp:lastPrinted>
  <dcterms:created xsi:type="dcterms:W3CDTF">2017-08-03T12:47:00Z</dcterms:created>
  <dcterms:modified xsi:type="dcterms:W3CDTF">2017-08-03T12:47:00Z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