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474AF5AC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A46C75">
        <w:rPr>
          <w:rFonts w:ascii="Times New Roman" w:hAnsi="Times New Roman" w:cs="Times New Roman"/>
          <w:b/>
        </w:rPr>
        <w:t>Липецк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BF60CE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3B7ECBFF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46C75">
        <w:rPr>
          <w:rFonts w:ascii="Times New Roman" w:hAnsi="Times New Roman" w:cs="Times New Roman"/>
          <w:color w:val="000000" w:themeColor="text1"/>
        </w:rPr>
        <w:t>» - «Липецк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A46C75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BF60CE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066EEE63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46C75">
        <w:rPr>
          <w:rFonts w:ascii="Times New Roman" w:hAnsi="Times New Roman" w:cs="Times New Roman"/>
          <w:color w:val="000000" w:themeColor="text1"/>
        </w:rPr>
        <w:t>» - «Липецк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A46C75">
        <w:rPr>
          <w:rFonts w:ascii="Times New Roman" w:hAnsi="Times New Roman" w:cs="Times New Roman"/>
        </w:rPr>
        <w:t>ЛП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F60CE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7FF57824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46C75">
        <w:rPr>
          <w:rFonts w:ascii="Times New Roman" w:hAnsi="Times New Roman" w:cs="Times New Roman"/>
          <w:color w:val="000000" w:themeColor="text1"/>
        </w:rPr>
        <w:t>» - «Липецк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033762">
        <w:rPr>
          <w:rFonts w:ascii="Times New Roman" w:hAnsi="Times New Roman" w:cs="Times New Roman"/>
        </w:rPr>
        <w:t>ЛП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BF60CE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71541CF5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BF60CE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033762">
        <w:rPr>
          <w:rFonts w:ascii="Times New Roman" w:hAnsi="Times New Roman" w:cs="Times New Roman"/>
        </w:rPr>
        <w:t>Липецк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33762">
        <w:rPr>
          <w:rFonts w:ascii="Times New Roman" w:hAnsi="Times New Roman" w:cs="Times New Roman"/>
        </w:rPr>
        <w:t xml:space="preserve"> </w:t>
      </w:r>
      <w:r w:rsidR="00BF60CE">
        <w:rPr>
          <w:rFonts w:ascii="Times New Roman" w:hAnsi="Times New Roman" w:cs="Times New Roman"/>
        </w:rPr>
        <w:t>395 465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0BB1AD5E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BF60CE">
        <w:rPr>
          <w:rFonts w:ascii="Times New Roman" w:hAnsi="Times New Roman" w:cs="Times New Roman"/>
        </w:rPr>
        <w:t>348 746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033762">
        <w:rPr>
          <w:rFonts w:ascii="Times New Roman" w:hAnsi="Times New Roman" w:cs="Times New Roman"/>
        </w:rPr>
        <w:t xml:space="preserve"> 87</w:t>
      </w:r>
      <w:r w:rsidR="00BF60CE">
        <w:rPr>
          <w:rFonts w:ascii="Times New Roman" w:hAnsi="Times New Roman" w:cs="Times New Roman"/>
        </w:rPr>
        <w:t>8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74623B86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BF60CE">
        <w:rPr>
          <w:rFonts w:ascii="Times New Roman" w:hAnsi="Times New Roman" w:cs="Times New Roman"/>
        </w:rPr>
        <w:t>Оказание услуг по передаче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BF60CE">
        <w:rPr>
          <w:rFonts w:ascii="Times New Roman" w:hAnsi="Times New Roman" w:cs="Times New Roman"/>
        </w:rPr>
        <w:t>1 855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F60CE">
        <w:rPr>
          <w:rFonts w:ascii="Times New Roman" w:hAnsi="Times New Roman" w:cs="Times New Roman"/>
        </w:rPr>
        <w:t>0,5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5E65A796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BF60CE">
        <w:rPr>
          <w:rFonts w:ascii="Times New Roman" w:hAnsi="Times New Roman" w:cs="Times New Roman"/>
        </w:rPr>
        <w:t>16 690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BF60CE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3AC4BCA0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033762">
        <w:rPr>
          <w:rFonts w:ascii="Times New Roman" w:hAnsi="Times New Roman" w:cs="Times New Roman"/>
          <w:iCs/>
        </w:rPr>
        <w:t>«Липецк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6A26FB83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033762">
        <w:t>-«Липецк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A5D91D8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033762">
        <w:rPr>
          <w:rFonts w:ascii="Times New Roman" w:hAnsi="Times New Roman"/>
        </w:rPr>
        <w:t xml:space="preserve"> - «Липецк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36201F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033762">
        <w:rPr>
          <w:rFonts w:ascii="Times New Roman" w:hAnsi="Times New Roman" w:cs="Times New Roman"/>
        </w:rPr>
        <w:t xml:space="preserve"> - «Липец</w:t>
      </w:r>
      <w:r w:rsidR="008652C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BF60CE">
        <w:rPr>
          <w:rFonts w:ascii="Times New Roman" w:hAnsi="Times New Roman" w:cs="Times New Roman"/>
        </w:rPr>
        <w:t>833</w:t>
      </w:r>
      <w:r w:rsidR="00865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605DFBCC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033762">
        <w:rPr>
          <w:rFonts w:ascii="Times New Roman" w:hAnsi="Times New Roman" w:cs="Times New Roman"/>
        </w:rPr>
        <w:t>» - «Липецк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BF60CE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BF60CE">
        <w:rPr>
          <w:rFonts w:ascii="Times New Roman" w:hAnsi="Times New Roman" w:cs="Times New Roman"/>
        </w:rPr>
        <w:t>отрению обращений составила 4,71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7DF82CDD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BF60CE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2D5A0992" w14:textId="77777777" w:rsidR="00E92F89" w:rsidRPr="00AF692E" w:rsidRDefault="00E92F89" w:rsidP="00E92F89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722DF503" w14:textId="77777777" w:rsidR="00E92F89" w:rsidRPr="00B40E70" w:rsidRDefault="00E92F89" w:rsidP="00E92F89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681D5F29" w14:textId="77777777" w:rsidR="00E92F89" w:rsidRDefault="00E92F89" w:rsidP="00E92F89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276CE026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033762">
        <w:rPr>
          <w:rFonts w:ascii="Times New Roman" w:hAnsi="Times New Roman"/>
          <w:sz w:val="26"/>
          <w:szCs w:val="26"/>
        </w:rPr>
        <w:t>» - «Липецк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033762">
        <w:rPr>
          <w:rFonts w:ascii="Times New Roman" w:hAnsi="Times New Roman"/>
          <w:sz w:val="26"/>
          <w:szCs w:val="26"/>
        </w:rPr>
        <w:t>ЛП</w:t>
      </w:r>
      <w:r w:rsidR="00BF60CE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BF60CE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BF60CE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92F89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D2A4-D67A-497C-A52A-155E33A0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2025-02-28T11:15:00Z</dcterms:created>
  <dcterms:modified xsi:type="dcterms:W3CDTF">2025-03-28T08:31:00Z</dcterms:modified>
</cp:coreProperties>
</file>